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Relationships xmlns="http://schemas.openxmlformats.org/package/2006/relationships"><Relationship Id="rId1" Type="http://schemas.openxmlformats.org/officeDocument/2006/relationships/officeDocument" TargetMode="Internal"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16se w16cid w16 w16cex w16sdtdh wp14">
  <w:body>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 </w:t>
      </w:r>
      <w:r>
        <w:rPr>
          <w:b w:val="1"/>
          <w:color w:val="000000"/>
          <w:rFonts w:ascii="苹方-简" w:hAnsi="苹方-简" w:eastAsia="苹方-简" w:cs="苹方-简"/>
          <w:sz w:val="48"/>
        </w:rPr>
        <w:t>SPISPIA深度人格平台用户协议</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版本日期：2026年7月24日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欢迎您注册、访问和使用SPISPIA深度人格平台。请您在注册账号、购买商品、订阅会员、生成星盘、使用SPI人格分析工具、提交出生资料、购买报告、预约咨询、使用分析师工作台、SaaS系统、API接口或本平台提供的其他产品及服务前，认真阅读并充分理解本协议全部内容，尤其是关于个人信息处理、出生资料使用、数字内容交付、自动续费、退款限制、知识产权、账号管理、风险提示、责任限制、争议解决及其他可能对您的权利义务产生重大影响的条款。相关条款可能通过加粗、下划线、弹窗提示、单独勾选或其他显著方式提醒您注意。您点击“注册”“登录”“同意”“继续”“购买”“支付”“订阅”“生成星盘”“提交资料”或实际使用本平台，即表示您已经阅读、理解并同意接受本协议以及本平台同时公布并不时更新的《隐私政策》《Cookie政策》《商品购买与退款政策》《会员订阅协议》《SaaS服务协议》《SPI人格分析与数据使用说明》《知识产权声明》及具体产品页面所载明的服务规则；如您不同意其中任何内容，请勿注册、购买或继续使用本平台。对于依据适用法律需要取得单独同意的个人信息处理、跨境传输、敏感个人信息处理、营销推送或自动续费事项，本平台将另行取得您的明确授权，您对本协议的整体同意不当然替代法律要求的单独同意。</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第一条 协议主体与适用范围</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本协议由您与SPISPIA深度人格平台的实际运营主体共同订立。本平台目前由European ISI Oy负责商业运营、产品销售、会员服务、SaaS服务及相关客户支持，European Institute of Symbolic Intelligence ry可能参与SPI理论研究、学术活动、知识产权管理、行业标准建设、认证培训或非营利性项目；具体交易相对方、收款主体、开票主体或服务提供主体以商品页面、订单页面、付款凭证、发票、具体服务说明或另行签署的合同所载信息为准。本协议适用于本平台网站、移动端网页、应用程序、SaaS后台、分析师工作台、管理系统、API、报告生成系统、课程系统、商城、会员中心、研究社功能以及本平台通过电子邮件、二维码、第三方渠道或合作页面向用户提供的相关服务。本平台中的部分商品或服务可能由合作机构、独立分析师、讲师、物流服务商、支付机构或其他第三方提供，涉及第三方独立提供的服务时，您还应遵守相应第三方规则；本平台将根据实际角色承担适用法律规定的责任，但不会仅因展示、链接或技术接入第三方服务而当然成为该第三方服务的直接提供者。</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第二条 用户资格与注册条件</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您确认，在注册和使用本平台时，您应当具备与所实施民事行为相适应的民事行为能力；如您属于未成年人、限制民事行为能力人或依据所在地法律不能独立订立本协议的人，应当由父母、监护人或其他合法代理人阅读并同意本协议，并在其监督和授权下使用本平台。未满十四周岁的中国用户如需使用涉及个人信息处理的服务，应当由监护人完成授权；欧洲经济区用户涉及儿童同意年龄时，应当依据其所在成员国法律执行。本平台原则上不面向儿童主动提供涉及支付、专业分析、咨询、SaaS或商业用途的服务，监护人不得在未评估内容适宜性的情况下将专业人格分析结果直接用于评价、限制或决定未成年人的教育、医疗、监护、人际关系或其他重大事项。您注册时应提供真实、准确、完整、合法且有效的信息，并及时更新发生变化的邮箱地址、联系方式、主体名称、税务信息、企业资料及其他必要信息；您不得冒用他人身份、盗用他人邮箱、伪造企业资质、使用临时或非法取得的联系方式注册账号，也不得以批量注册、机器注册、虚假注册、账号养号或其他方式扰乱平台正常运营。</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第三条 账号、密码与身份验证</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您完成注册后将获得本平台账号，账号所有权及相关技术管理权归本平台所有，您仅在遵守本协议及相关规则的前提下享有有限、可撤销、不可转让的使用权。您应当妥善保管登录邮箱、验证码、密码、设备、登录链接、恢复凭证及其他身份验证信息，不得出租、出借、出售、赠与、共享、转让或允许未经授权的第三方使用您的账号。通过正确的账号凭证完成的操作原则上视为您本人实施，但如您能够证明账号被盗用且已及时通知本平台，本平台将依据实际情况协助采取冻结、重置或调查措施。您发现账号、邮箱、密码、验证码、支付信息或设备可能发生泄露、盗用或异常登录时，应当立即修改密码并联系本平台；因您未妥善保管凭证、主动向他人提供验证码、使用不安全设备、点击欺诈链接或未及时采取合理措施造成的损失，由您依法承担相应责任。本平台有权基于安全、合规、风控、防欺诈、支付异常、账号共享、批量访问、异地异常登录或其他合理原因要求您重新验证身份、限制部分功能、暂停交易或临时冻结账号，但应在法律允许范围内向您说明主要原因并提供合理申诉渠道。</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第四条 平台服务内容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本平台可能向用户提供注册登录、邮箱验证、基础星盘计算、出生资料录入、Swiss Ephemeris相关天文位置计算、SPI深度人格分析、组合规则解析、人格报告生成、付费报告、咨询预约、出生时间矫正、课程培训、考试认证、分析师资料展示、分析师工作台、会员订阅、商品购买、数字资料下载、实体商品配送、研究内容、行业资讯、长期主义研究社、SaaS工具、团队协作、数据管理、API接入及其他不时上线的服务。具体服务内容、开放范围、适用终端、技术条件、功能限制、使用次数、存储期限、交付形式、价格、税费、服务周期、售后规则及是否需要另行付费，以相应页面展示、订单信息、套餐说明或双方另行签署的合同为准。本平台有权基于产品优化、技术升级、法律监管、安全风险、第三方服务变化或商业安排增加、调整、暂停或终止部分免费功能；对于已经付费且仍在有效期内的服务，本平台将依法采取继续履行、提供合理替代方案、延长服务期限、退还未履行部分费用或其他适当措施，不会以一般性平台规则任意剥夺用户已经依法取得的消费者权利。</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第五条 星盘计算、出生资料与SPI人格分析</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您理解，生成星盘及相关分析通常需要提供出生日期、出生时间、出生地点、时区、历史夏令时信息、经纬度及您主动填写的其他资料。出生资料能够与账号、姓名、联系方式或其他信息结合识别特定个人，因此可能构成个人信息；出生地点、精确时间及由此推导出的行为偏好、人格特征、关系模式、心理倾向或其他分析结果，在特定场景下可能对个人权益产生较高影响。本平台将依照《隐私政策》和《SPI人格分析与数据使用说明》处理相关信息，并在适用法律要求时取得您的单独同意。中国《个人信息保护法》要求个人信息处理遵循合法、正当、必要、诚信、公开透明和最小范围原则，并对敏感个人信息、自动化决策及向境外提供个人信息设有更严格规则。 您为他人录入出生资料、建立案例、生成报告或进行分析时，确认您已经取得该信息主体的合法授权，或者具有其他适用法律认可的处理依据；您不得在未经授权的情况下收集、上传、分析、公开或传播他人的出生资料、真实姓名、联系方式、健康信息、家庭情况、客户记录或其他个人信息。对于分析师账号、企业账号和SaaS客户，本平台可能要求其在使用客户资料功能前另行同意数据处理条款，并承担向其客户履行告知、取得授权、限定访问权限及及时删除数据的责任。</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SPI人格分析、星盘解析、课程、报告及相关内容属于象征学、人格式样研究、教育、文化研究、个人反思和成长辅助工具，其输出依赖用户提供资料、系统规则、模型设计、分析师判断、文本生成过程及具体使用情境，不构成医疗诊断、心理治疗、精神疾病评估、法律意见、财务建议、投资建议、就业决定、教育录取决定、信贷评估、保险核保、司法鉴定或对未来事件的确定性预测。本平台不主张仅凭星座、星盘、人格标签或自动生成结果对任何人的能力、道德、健康、忠诚、危险性、婚姻适配性、职业资格或人生价值作出确定结论。您不得将本平台输出作为对他人实施歧视、羞辱、排斥、操纵、胁迫、解雇、拒绝录用、拒绝教育、拒绝医疗、拒绝信贷或其他重大不利决定的唯一依据。对于可能涉及心理危机、疾病、暴力、自伤、法律纠纷或重大财务风险的情况，您应当及时寻求具有相应资质的专业人员或当地紧急服务机构帮助。</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第六条 用户行为规范</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您在使用本平台过程中应当遵守适用法律法规、社会公共秩序、商业道德、本协议及平台规则，不得利用本平台制作、上传、存储、发布、传播、销售或协助传播违法犯罪信息、侵害他人隐私或个人信息的内容、侵犯著作权商标权商业秘密或其他知识产权的内容、虚假欺诈信息、恶意营销信息、仇恨歧视内容、骚扰威胁内容、淫秽色情内容、针对未成年人的不当内容、恶意代码、病毒程序、钓鱼页面或其他可能危害用户、平台、网络安全及公共利益的内容；不得冒充本平台、官方分析师、认证机构、合作伙伴或其他用户，不得伪造认证、篡改报告、虚构授权关系、谎称获得官方许可，不得通过刷单、虚假交易、恶意退款、盗刷、套现、洗钱、非法分销、操纵佣金、批量注册、撞库、攻击接口、绕过权限、利用漏洞、干扰服务器、超负荷调用、自动化抓取或其他方式损害平台正常运行。用户在社区、案例、评论、课程讨论、分析师介绍或其他可发布内容的区域提交信息时，应当确保内容合法且具有相应权利；您授予本平台的仅是为存储、展示、审核、分发、备份和提供相关功能所必要的非独占许可，不意味着您将用户原创内容的所有权转让给本平台，但您不得以用户内容为名上传本平台自身受保护的规则库、课程、报告模板或其他未经授权取得的内容。</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第七条 付费服务、订单与支付</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部分服务需要付费，您提交订单前应当认真核对商品或服务名称、规格、数量、交付形式、适用对象、使用期限、自动续费状态、价格、币种、税费、收货信息、发票信息、账号归属及退款条件。订单经支付成功并被系统确认后成立，但依法需要人工审核、资格验证、库存确认、服务排期、风控审查或另行签署合同的，相关页面将作出说明。支付服务可能由微信支付、银行卡收单机构、第三方支付平台或其他持牌机构提供，您使用第三方支付服务时还应遵守其服务协议和风控规则。本平台不会要求您通过非官方页面向私人账户支付与订单不符的款项；如您收到异常收款要求，应立即停止付款并联系平台核实。因支付机构、银行、网络、汇率、税务或跨境结算产生的合理手续费和汇兑差额，按照订单页面、支付机构规则及适用法律处理。</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实体商品、数字商品、定制报告、即时生成内容、已经开始履行的在线服务、会员订阅、课程、咨询、SaaS服务及其他不同类型产品的取消权和退款条件可能不同。芬兰和欧盟消费者远程交易规则对消费者撤回权、数字内容交付、服务提前履行及法定瑕疵责任设有强制性要求；本平台的具体退款政策不得排除法律赋予消费者的不可放弃权利。 对于用户明确要求立即交付的数字内容、即时生成的个性化报告或在撤回期内开始履行的服务，本平台将在法律要求时取得用户关于立即履行及知悉可能丧失撤回权的确认。任何“数字商品不退款”“定制服务不退款”或类似条款，仅在符合适用法律的范围内适用；如产品存在法定瑕疵、重复扣款、错误交付、无法使用或平台未按约履行，用户仍可依法主张补救。</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第八条 会员订阅与自动续费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如您购买按月、按季、按年或其他周期计费的会员、SaaS套餐或订阅服务，具体价格、计费周期、权益内容、续费日期、取消路径及退款规则以购买页面为准。涉及自动续费的，本平台将在您开通前以显著方式说明计费规则并取得明确同意，不会将自动续费与非必要服务捆绑勾选。您可以通过账号设置、订单页面或客服提供的合理路径关闭后续自动续费；关闭后通常不影响已经支付周期内的使用权，但已经发生的当期费用是否退还，应按照适用法律和具体订阅规则处理。本平台调整订阅价格或核心权益时，将在新的计费周期生效前以合理方式通知您；如法律要求重新取得同意，本平台将依法办理。因支付方式失效、账户余额不足、银行拒付或其他原因导致续费失败时，本平台可以暂停相应付费权益，但不得未经授权反复进行不合理扣款。</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第九条 SaaS、分析师工作台与企业服务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使用本平台SaaS系统、分析师工作台、团队账号、企业后台、API或其他专业工具的用户，除遵守本协议外，还应遵守相应《SaaS服务协议》《API使用协议》《分析师平台协议》及订单约定。专业用户应当仅在授权范围内使用账号和数据，不得将账号共享给未授权人员，不得绕过席位数量、租户隔离、功能权限、调用额度、导出限制或其他技术控制，不得通过截图、复制、爬取、脚本、接口重放、缓存、镜像、反向工程或人工整理等方式获取超出套餐范围的规则、报告、客户数据或系统内容。企业客户应当对其管理员、员工、分析师、外包人员和最终用户的权限设置与操作承担管理责任，并应建立合理的数据访问、保密、离职回收、客户授权和安全事件处置机制。除双方另有书面约定外，SaaS服务不构成对任何特定业务成果、收入增长、客户转化率、考试通过率、监管审批或第三方兼容性的保证。</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第十条 知识产权与禁止复制</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本平台及其关联网站、移动应用、SaaS系统、分析师工作台、API接口、软件、数据库、课程、报告、数字产品和其他服务中的全部原创成果，包括但不限于SPI、SPISPIA、Symbolic Personality Integration、SPI深度人格分析体系、人格机制模型、分析框架、规则数据库、JSON规则文件、标签体系、权重体系、条件逻辑、组合逻辑、推理路径、Prompt框架、数据结构、数据库组织方式、报告生成逻辑、报告模板、分析文本、案例结构、课程体系、考试题目、认证标准、软件代码、接口设计、页面设计、交互设计、图表、图标、商标、标识、图片、音频、视频、文章、出版物、培训资料、研究成果以及相关改编、更新和衍生成果，均由European ISI Oy、European Institute of Symbolic Intelligence ry或其他合法权利人依法享有著作权、数据库权利、商标权、商业秘密及其他知识产权。平台向用户提供访问、阅读、下载、生成或使用权限，不等于向用户转让任何知识产权，除具体商品页面或书面授权明确允许外，用户仅可为个人、内部学习或约定业务目的合理使用相关内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未经权利人事先书面许可，任何个人或机构不得复制、转载、摘录、改写、翻译、传播、公开展示、出版、销售、出租、转授权、转售、镜像、批量下载、数据抓取、页面抓取、OCR识别、录屏整理、建立题库、建立规则库、建立数据库、制作替代性报告、拆分组合内容、删除版权标识、反向工程、反编译、分析接口、推断规则、重建权重、模拟输出、绕过访问限制或以其他方式获取、利用、重建本平台全部或实质性部分内容；不得将本平台内容、报告、课程、规则、案例、提示词、数据库或输出结果用于训练、微调、蒸馏、评估或优化大语言模型、机器学习模型、智能体、RAG系统、向量数据库、知识图谱、自动问答系统或其他人工智能产品；不得利用本平台内容开发、运营、协助开发或推广与本平台相同、近似或具有实质替代关系的产品或服务。仅对思想、方法或一般性知识的合法学习，不当然构成侵权，但任何对具体表达、规则选择与编排、数据库实质性内容、商业秘密或受保护技术措施的复制和利用，仍受适用法律限制。</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第十一条 第三方服务与外部链接</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本平台可能接入Supabase、Swiss Ephemeris相关服务、邮件服务商、云服务器、内容分发网络、地图或地理编码服务、支付机构、物流服务商、统计分析工具、客服工具及其他第三方技术服务，也可能提供指向第三方网站、应用或内容的链接。第三方服务由相应主体按照其规则独立提供，本平台将对其选择、接入和数据处理采取合理审慎措施，但无法对第三方服务持续可用、完全无误、无中断或不发生政策变化作出绝对保证。您通过第三方服务提交的信息，可能同时受到第三方隐私政策和服务条款约束。本平台不会因存在外部链接而认可、担保或控制链接页面的全部内容；您访问第三方网站前应自行判断其安全性与适用性。</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第十二条 服务变更、中断与终止</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可能因系统维护、升级、网络故障、服务器异常、安全事件、攻击、自然灾害、政府行为、监管要求、第三方供应商中断、支付机构故障、通信运营商问题或其他合理原因暂停部分服务，并将根据事件性质尽合理努力提前通知或及时恢复。对于计划性维护，本平台将尽可能选择影响较小的时间进行；对于紧急安全维护，可能无法提前通知。您严重违反本协议、侵犯他人权益、从事欺诈或违法行为、实施攻击抓取、拖欠费用、滥用退款机制、危害平台安全或经合理通知仍未纠正其他重大违约行为的，本平台有权根据严重程度采取警告、限制功能、暂停账号、取消专业资格、终止服务或依法保存证据等措施。除法律允许立即处置的紧急情况外，本平台将尽量提供合理说明与申诉机会。账号终止后，已依法产生的订单、付款、知识产权、保密、责任承担、争议解决及依法必须保存的数据处理条款不因终止而失效。</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第十三条 免责声明与责任限制</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将按照合理的专业和技术标准提供服务，但由于互联网、软件、数据来源、用户输入和人格分析本身的性质，本平台不保证服务在任何时间绝对不中断、不出现错误、不受攻击或完全满足所有用户的主观预期，也不保证任何分析结论、报告内容、课程结果、咨询意见或SaaS功能必然实现特定生活、关系、职业、经营、健康、财务或其他成果。用户应当结合自身情况、现实证据和专业意见独立判断，不得将平台输出视为命令、诊断或确定事实。用户输入的出生时间、地点、时区、姓名或其他资料不准确，可能直接影响计算和分析结果；因此产生的偏差不属于平台技术错误，但如平台本身存在可验证的计算或交付错误，平台将依照具体产品规则和适用法律提供修正、重新生成、补充履行或其他合理补救。</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在适用法律允许的最大范围内，任何一方对间接损失、附带损失、特殊损失、惩罚性损失、预期利润损失、商誉损失或因第三方行为造成且该方无法合理控制的损失，不承担超出法律规定的责任；但本条不排除因故意或重大过失、人身伤害、欺诈、法定产品责任、消费者不可放弃权利、个人信息违法处理或其他依法不得限制的责任。对于消费者，本协议中的任何责任限制均不得削弱芬兰、欧盟、中国或用户常住地强制性法律所赋予的保护。</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第十四条 个人信息与通信</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本平台如何收集、使用、存储、共享、跨境传输、保护和删除个人信息，以及您如何行使访问、更正、删除、限制处理、撤回同意、数据可携带、拒绝营销或投诉等权利，以《隐私政策》为准。欧盟《通用数据保护条例》要求个人数据处理具有合法基础，并保障数据主体的访问、更正、删除、限制处理、反对处理及数据可携带等权利。 注册验证码、密码重置、安全通知、订单确认、付款状态、服务变更及合同履行所必需的邮件属于服务通信，通常不能在不影响相应服务的情况下完全关闭；营销邮件、活动推广或非必要个性化推荐将依据适用法律取得相应同意并提供退订方式。您应确保邮箱地址有效，并及时查看与订单、账号安全和服务交付有关的信息。</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第十五条 协议修改</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平台可能因法律法规变化、监管要求、业务调整、功能更新、安全需求或服务范围变化修改本协议。对于一般性、不会实质减少用户既有权利的修改，本平台可以通过网站公告、账号通知或更新版本日期的方式告知；对于涉及价格、自动续费、核心服务、个人信息处理、责任限制、争议解决或其他对用户有重大影响的变更，本平台将依法以更加显著的方式提前通知，并在必要时重新取得用户同意。修改后的协议原则上仅对其生效后的使用行为适用，不溯及既往改变已经成立订单的核心内容，但法律另有规定、双方另有约定或为保护用户权益而作出的调整除外。您不同意重大修改时，可以停止使用相关服务并依法处理未履行订单或账号注销事宜。</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第十六条 适用法律与争议解决</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协议原则上适用芬兰法律，但该法律选择不得剥夺消费者依据其通常居住地强制性法律享有的保护。因本协议或平台服务产生争议时，双方应首先通过客服沟通和合理协商解决；协商不成的，消费者可以依据适用法律向有管辖权的法院、消费者争议解决机构或其他法定机构主张权利。非消费者用户、企业客户、专业分析师或SaaS客户与平台之间的争议，除双方另有书面约定外，可提交平台运营主体所在地有管辖权的芬兰法院处理。任何关于专属管辖、仲裁、集体诉讼限制或索赔期限的约定，仅在适用法律允许且已经向用户充分提示的范围内有效。</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第十七条 其他</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本协议标题仅为阅读方便，不影响条款解释。本协议任何条款被有管辖权机构认定为无效、违法或不可执行的，不影响其他条款的效力；相关条款应在法律允许范围内按最接近原商业目的且合法有效的方式解释或调整。本平台未立即行使某项权利，不构成对该权利的放弃。未经本平台书面同意，用户不得转让本协议项下账号或权利义务；本平台因合并、重组、资产转让或业务承继需要转移本协议时，将依法处理并在涉及个人信息控制主体变化时履行相应告知义务。本协议的中文版本用于中文网站；如未来提供其他语言版本且翻译存在差异，应依据适用法律、交易页面所确定的合同语言及对消费者更有利的解释规则处理。</w:t>
      </w:r>
    </w:p>
    <w:p>
      <w:pPr>
        <w:pBdr>
          <w:bottom w:val="nil" w:color="000000" w:sz="4" w:space="0"/>
          <w:left w:val="nil" w:color="000000" w:sz="4" w:space="0"/>
          <w:right w:val="nil" w:color="000000" w:sz="4" w:space="0"/>
          <w:top w:val="nil" w:color="000000" w:sz="4" w:space="0"/>
        </w:pBdr>
        <w:pStyle w:val="6"/>
        <w:spacing/>
        <w:rPr>
          <w:rFonts w:ascii="苹方-简" w:hAnsi="苹方-简" w:eastAsia="苹方-简" w:cs="苹方-简"/>
          <w:sz w:val="36"/>
        </w:rPr>
      </w:pPr>
      <w:r>
        <w:rPr>
          <w:b w:val="1"/>
          <w:color w:val="000000"/>
          <w:rFonts w:ascii="苹方-简" w:hAnsi="苹方-简" w:eastAsia="苹方-简" w:cs="苹方-简"/>
          <w:sz w:val="36"/>
        </w:rPr>
        <w:t xml:space="preserve">第十八条 联系方式</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如您对本协议、账号、订单、退款、个人信息、知识产权投诉或其他服务事项存在疑问，可以通过本平台“联系我们”页面公布的电子邮箱、在线客服或其他正式渠道联系European ISI Oy。正式上线前应在本条补充European ISI Oy的完整注册地址、商业登记号、客户服务邮箱、个人信息联系邮箱及适用情况下的中国境内代表或联系人信息，不建议在这些信息尚未确认时使用虚构占位内容。</w:t>
      </w:r>
    </w:p>
    <w:p>
      <w:pPr>
        <w:pBdr>
          <w:bottom w:val="nil" w:color="000000" w:sz="4" w:space="0"/>
          <w:left w:val="nil" w:color="000000" w:sz="4" w:space="0"/>
          <w:right w:val="nil" w:color="000000" w:sz="4" w:space="0"/>
          <w:top w:val="nil" w:color="000000" w:sz="4" w:space="0"/>
        </w:pBdr>
        <w:pStyle w:val="8"/>
        <w:spacing w:after="281" w:before="281"/>
        <w:rPr>
          <w:rFonts w:ascii="苹方-简" w:hAnsi="苹方-简" w:eastAsia="苹方-简" w:cs="苹方-简"/>
          <w:sz w:val="28"/>
        </w:rPr>
      </w:pPr>
      <w:r>
        <w:rPr>
          <w:b w:val="1"/>
          <w:color w:val="000000"/>
          <w:rFonts w:ascii="苹方-简" w:hAnsi="苹方-简" w:eastAsia="苹方-简" w:cs="苹方-简"/>
          <w:sz w:val="28"/>
        </w:rPr>
        <w:t>注册页面勾选文字</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0"/>
          <w:color w:val="000000"/>
          <w:rFonts w:ascii="苹方-简" w:hAnsi="苹方-简" w:eastAsia="苹方-简" w:cs="苹方-简"/>
          <w:sz w:val="24"/>
        </w:rPr>
        <w:t xml:space="preserve">□ 我已阅读并同意《用户协议》和《隐私政策》，并知悉使用排盘及SPI人格分析功能时，本平台将按照《SPI人格分析与数据使用说明》处理我主动提交的出生日期、出生时间、出生地点及相关资料。</w:t>
      </w:r>
    </w:p>
    <w:p>
      <w:pPr>
        <w:pBdr>
          <w:bottom w:val="nil" w:color="000000" w:sz="4" w:space="0"/>
          <w:left w:val="nil" w:color="000000" w:sz="4" w:space="0"/>
          <w:right w:val="nil" w:color="000000" w:sz="4" w:space="0"/>
          <w:top w:val="nil" w:color="000000" w:sz="4" w:space="0"/>
        </w:pBdr>
        <w:spacing w:after="240" w:before="240"/>
        <w:rPr>
          <w:rFonts w:ascii="苹方-简" w:hAnsi="苹方-简" w:eastAsia="苹方-简" w:cs="苹方-简"/>
          <w:sz w:val="24"/>
        </w:rPr>
      </w:pPr>
      <w:r>
        <w:rPr>
          <w:b w:val="1"/>
          <w:color w:val="000000"/>
          <w:rFonts w:ascii="苹方-简" w:hAnsi="苹方-简" w:eastAsia="苹方-简" w:cs="苹方-简"/>
          <w:sz w:val="24"/>
        </w:rPr>
        <w:t>未勾选时不得完成注册。</w:t>
      </w:r>
      <w:r>
        <w:rPr>
          <w:b w:val="0"/>
          <w:color w:val="000000"/>
          <w:rFonts w:ascii="苹方-简" w:hAnsi="苹方-简" w:eastAsia="苹方-简" w:cs="苹方-简"/>
          <w:sz w:val="24"/>
        </w:rPr>
        <w:t xml:space="preserve"> 但“同意用户协议”和“同意非必要营销”不能合并为一个勾选框；出生资料处理如涉及需要单独同意的情形，也应在首次使用排盘或保存出生资料时另设明确确认，而不是全部塞进注册勾选中。</w:t>
      </w:r>
    </w:p>
    <w:sectPr>
      <w:cols w:equalWidth="1" w:num="1" w:sep="0" w:space="1701"/>
      <w:docGrid w:linePitch="387" w:type="lines"/>
      <w:pgMar w:top="1440" w:right="1797" w:bottom="1440" w:left="1797" w:header="709" w:footer="992"/>
      <w:pgNumType w:chapSep="hyphen"/>
      <w:pgSz w:h="16838" w:w="11906" w:orient="portrait"/>
    </w:sectPr>
  </w:body>
</w:document>
</file>

<file path=word/settings.xml><?xml version="1.0" encoding="utf-8"?>
<w:settings xmlns:w="http://schemas.openxmlformats.org/wordprocessingml/2006/main" xmlns:m="http://schemas.openxmlformats.org/officeDocument/2006/math" xmlns:v="urn:schemas-microsoft-com:vml">
  <w:drawingGridVerticalSpacing w:val="156"/>
  <w:displayHorizontalDrawingGridEvery w:val="1"/>
  <w:displayVerticalDrawingGridEvery w:val="2"/>
  <w:noPunctuationKerning w:val="0"/>
  <w:characterSpacingControl w:val="compressPunctuation"/>
  <w:endnotePr>
    <w:pos w:val="docEnd"/>
  </w:endnotePr>
  <w:compat>
    <w:balanceSingleByteDoubleByteWidth w:val="1"/>
    <w:adjustLineHeightInTable w:val="1"/>
    <w:compatSetting w:name="compatibilityMode" w:uri="http://schemas.microsoft.com/office/word" w:val="15"/>
  </w:compat>
  <w:themeFontLang w:val="en-US" w:eastAsia="zh-CN" w:bidi="ar-S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docDefaults>
    <w:rPrDefault>
      <w:rPr>
        <w:b w:val="0"/>
        <w:color w:val="auto"/>
        <w:dstrike w:val="0"/>
        <w:i w:val="0"/>
        <w:kern w:val="2"/>
        <w:lang w:val="en-US" w:bidi="en-US"/>
        <w:rFonts w:asciiTheme="minorHAnsi" w:hAnsiTheme="minorHAnsi" w:eastAsiaTheme="minorEastAsia" w:cstheme="minorBidi"/>
        <w:rtl w:val="0"/>
        <w:spacing w:val="0"/>
        <w:strike w:val="0"/>
        <w:sz w:val="21"/>
        <w:szCs w:val="21"/>
        <w:u w:val="none"/>
        <w:vertAlign w:val="baseline"/>
        <w:w w:val="100"/>
      </w:rPr>
    </w:rPrDefault>
    <w:pPrDefault>
      <w:pPr>
        <w:autoSpaceDE w:val="1"/>
        <w:autoSpaceDN w:val="1"/>
        <w:ind w:firstLine="0" w:left="0" w:right="0"/>
        <w:jc w:val="left"/>
        <w:keepLines w:val="0"/>
        <w:keepNext w:val="0"/>
        <w:kinsoku w:val="1"/>
        <w:overflowPunct w:val="1"/>
        <w:pageBreakBefore w:val="0"/>
        <w:pBdr>
          <w:between w:val="nil" w:color="000000" w:sz="4" w:space="0"/>
          <w:bottom w:val="nil" w:color="000000" w:sz="4" w:space="0"/>
          <w:left w:val="nil" w:color="000000" w:sz="4" w:space="0"/>
          <w:right w:val="nil" w:color="000000" w:sz="4" w:space="0"/>
          <w:top w:val="nil" w:color="000000" w:sz="4" w:space="0"/>
        </w:pBdr>
        <w:shd w:val="nil"/>
        <w:snapToGrid w:val="1"/>
        <w:spacing w:after="0" w:afterAutospacing="0" w:before="0" w:beforeAutospacing="0" w:line="240" w:lineRule="auto"/>
        <w:topLinePunct w:val="0"/>
        <w:widowControl w:val="1"/>
        <w:wordWrap w:val="1"/>
      </w:pPr>
    </w:pPrDefault>
  </w:docDefaults>
  <w:style w:type="paragraph" w:styleId="161">
    <w:name w:val="Normal"/>
    <w:qFormat w:val="1"/>
    <w:pPr>
      <w:autoSpaceDE w:val="1"/>
      <w:autoSpaceDN w:val="1"/>
      <w:jc w:val="both"/>
      <w:widowControl w:val="0"/>
    </w:pPr>
  </w:style>
  <w:style w:type="paragraph" w:styleId="4">
    <w:name w:val="Heading 1"/>
    <w:basedOn w:val="161"/>
    <w:next w:val="161"/>
    <w:link w:val="5"/>
    <w:uiPriority w:val="9"/>
    <w:qFormat w:val="1"/>
    <w:pPr>
      <w:outlineLvl w:val="0"/>
      <w:spacing w:after="330" w:before="340" w:line="408" w:lineRule="auto"/>
    </w:pPr>
    <w:rPr>
      <w:b w:val="1"/>
      <w:rFonts w:asciiTheme="majorAscii" w:hAnsiTheme="majorAscii" w:eastAsiaTheme="majorEastAsia" w:cstheme="majorBidi"/>
      <w:sz w:val="44"/>
      <w:szCs w:val="44"/>
    </w:rPr>
  </w:style>
  <w:style w:type="character" w:styleId="5">
    <w:name w:val="Heading 1 Char"/>
    <w:basedOn w:val="2"/>
    <w:link w:val="4"/>
    <w:uiPriority w:val="9"/>
    <w:rPr>
      <w:b w:val="1"/>
      <w:rFonts w:asciiTheme="majorAscii" w:hAnsiTheme="majorAscii" w:eastAsiaTheme="majorEastAsia" w:cstheme="majorBidi"/>
      <w:sz w:val="44"/>
      <w:szCs w:val="44"/>
    </w:rPr>
  </w:style>
  <w:style w:type="character" w:styleId="2">
    <w:name w:val="original Paragraph Font"/>
    <w:uiPriority w:val="1"/>
    <w:unhideWhenUsed w:val="1"/>
  </w:style>
  <w:style w:type="paragraph" w:styleId="6">
    <w:name w:val="Heading 2"/>
    <w:basedOn w:val="161"/>
    <w:next w:val="161"/>
    <w:link w:val="7"/>
    <w:uiPriority w:val="9"/>
    <w:unhideWhenUsed w:val="1"/>
    <w:qFormat w:val="1"/>
    <w:pPr>
      <w:outlineLvl w:val="1"/>
      <w:spacing w:after="260" w:before="260" w:line="408" w:lineRule="auto"/>
    </w:pPr>
    <w:rPr>
      <w:b w:val="1"/>
      <w:rFonts w:asciiTheme="majorAscii" w:hAnsiTheme="majorAscii" w:eastAsiaTheme="majorEastAsia" w:cstheme="majorBidi"/>
      <w:sz w:val="32"/>
    </w:rPr>
  </w:style>
  <w:style w:type="character" w:styleId="7">
    <w:name w:val="Heading 2 Char"/>
    <w:basedOn w:val="2"/>
    <w:link w:val="6"/>
    <w:uiPriority w:val="9"/>
    <w:rPr>
      <w:b w:val="1"/>
      <w:rFonts w:asciiTheme="majorAscii" w:hAnsiTheme="majorAscii" w:eastAsiaTheme="majorEastAsia" w:cstheme="majorBidi"/>
      <w:sz w:val="32"/>
    </w:rPr>
  </w:style>
  <w:style w:type="paragraph" w:styleId="8">
    <w:name w:val="Heading 3"/>
    <w:basedOn w:val="161"/>
    <w:next w:val="161"/>
    <w:link w:val="9"/>
    <w:uiPriority w:val="9"/>
    <w:unhideWhenUsed w:val="1"/>
    <w:qFormat w:val="1"/>
    <w:pPr>
      <w:outlineLvl w:val="2"/>
      <w:spacing w:after="260" w:before="260" w:line="408" w:lineRule="auto"/>
    </w:pPr>
    <w:rPr>
      <w:b w:val="1"/>
      <w:rFonts w:asciiTheme="majorAscii" w:hAnsiTheme="majorAscii" w:eastAsiaTheme="majorEastAsia" w:cstheme="majorBidi"/>
      <w:sz w:val="32"/>
      <w:szCs w:val="32"/>
    </w:rPr>
  </w:style>
  <w:style w:type="character" w:styleId="9">
    <w:name w:val="Heading 3 Char"/>
    <w:basedOn w:val="2"/>
    <w:link w:val="8"/>
    <w:uiPriority w:val="9"/>
    <w:rPr>
      <w:b w:val="1"/>
      <w:rFonts w:asciiTheme="majorAscii" w:hAnsiTheme="majorAscii" w:eastAsiaTheme="majorEastAsia" w:cstheme="majorBidi"/>
      <w:sz w:val="32"/>
      <w:szCs w:val="32"/>
    </w:rPr>
  </w:style>
</w:styles>
</file>

<file path=word/_rels/document.xml.rels><?xml version="1.0" encoding="UTF-8" standalone="yes"?><Relationships xmlns="http://schemas.openxmlformats.org/package/2006/relationships"><Relationship Id="rId2" Type="http://schemas.openxmlformats.org/officeDocument/2006/relationships/settings" TargetMode="Internal" Target="settings.xml"/><Relationship Id="rId3" Type="http://schemas.openxmlformats.org/officeDocument/2006/relationships/styles" TargetMode="Internal" Target="styles.xml"/><Relationship Id="rId1" Type="http://schemas.openxmlformats.org/officeDocument/2006/relationships/theme" TargetMode="Internal" Target="theme/theme1.xml"/></Relationships>
</file>

<file path=word/theme/theme1.xml><?xml version="1.0" encoding="utf-8"?>
<a:theme xmlns:a="http://schemas.openxmlformats.org/drawingml/2006/main" name="Office 主题">
  <a:themeElements>
    <a:clrScheme name="Office">
      <a:dk1>
        <a:sysClr val="windowText" lastClr="000000"/>
      </a:dk1>
      <a:lt1>
        <a:sysClr val="windowText"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Noto Sans JP"/>
        <a:font script="Hang" typeface="맑은 고딕"/>
        <a:font script="Hans" typeface="微软雅黑"/>
        <a:font script="Hant" typeface="微软雅黑"/>
        <a:font script="Arab" typeface="Arial"/>
      </a:majorFont>
      <a:minorFont>
        <a:latin typeface="Arial"/>
        <a:ea typeface=""/>
        <a:cs typeface=""/>
        <a:font script="Jpan" typeface="Noto Sans JP"/>
        <a:font script="Hang" typeface="맑은 고딕"/>
        <a:font script="Hans" typeface="微软雅黑"/>
        <a:font script="Hant" typeface="微软雅黑"/>
        <a:font script="Arab"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