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Mode="Internal" Target="/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16se w16cid w16 w16cex w16sdtdh wp14">
  <w:body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4"/>
        <w:spacing w:after="322" w:before="322"/>
        <w:rPr>
          <w:rFonts w:ascii="苹方-简" w:hAnsi="苹方-简" w:eastAsia="苹方-简" w:cs="苹方-简"/>
          <w:sz w:val="48"/>
        </w:rPr>
      </w:pPr>
      <w:r>
        <w:rPr>
          <w:b w:val="1"/>
          <w:color w:val="000000"/>
          <w:rFonts w:ascii="苹方-简" w:hAnsi="苹方-简" w:eastAsia="苹方-简" w:cs="苹方-简"/>
          <w:sz w:val="48"/>
        </w:rPr>
        <w:t xml:space="preserve">SPISPIA深度人格平台购买与支付协议（Purchase Terms）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1"/>
          <w:color w:val="000000"/>
          <w:rFonts w:ascii="苹方-简" w:hAnsi="苹方-简" w:eastAsia="苹方-简" w:cs="苹方-简"/>
          <w:sz w:val="24"/>
        </w:rPr>
        <w:t>版本日期：2026年7月24日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欢迎您购买SPISPIA深度人格平台（以下简称“本平台”）提供的商品及服务。为保障双方合法权益，请您在提交订单或完成支付前认真阅读本协议。本协议适用于本平台销售的全部数字商品、实体商品、会员服务、SPI人格分析报告、课程培训、咨询服务、SaaS服务、分析师认证、API服务及其他收费产品，与《用户协议》《隐私政策》《退款政策》《会员订阅协议》等共同构成双方之间具有法律约束力的协议文件。您点击“立即购买”“立即支付”“提交订单”或完成付款，即表示您已经阅读、理解并同意本协议全部内容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8"/>
        <w:spacing w:after="281" w:before="281"/>
        <w:rPr>
          <w:rFonts w:ascii="苹方-简" w:hAnsi="苹方-简" w:eastAsia="苹方-简" w:cs="苹方-简"/>
          <w:sz w:val="28"/>
        </w:rPr>
      </w:pPr>
      <w:r>
        <w:rPr>
          <w:b w:val="1"/>
          <w:color w:val="000000"/>
          <w:rFonts w:ascii="苹方-简" w:hAnsi="苹方-简" w:eastAsia="苹方-简" w:cs="苹方-简"/>
          <w:sz w:val="28"/>
        </w:rPr>
        <w:t>一、商品及服务说明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本平台销售的商品包括但不限于数字报告、星盘分析、SPI人格分析服务、在线课程、认证培训、会员权益、咨询服务、软件下载权限、SaaS系统使用权、API调用权限、数字资料、出版物、实体商品及未来上线的其他产品。商品介绍、价格、适用对象、服务内容、交付方式、使用期限、开放权限及其他说明均以商品页面展示内容为准。本平台有权根据产品升级、法律法规、市场变化或运营需要调整商品内容，但不会影响已经依法成立且已经完成付款订单所对应的核心权益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8"/>
        <w:spacing w:after="281" w:before="281"/>
        <w:rPr>
          <w:rFonts w:ascii="苹方-简" w:hAnsi="苹方-简" w:eastAsia="苹方-简" w:cs="苹方-简"/>
          <w:sz w:val="28"/>
        </w:rPr>
      </w:pPr>
      <w:r>
        <w:rPr>
          <w:b w:val="1"/>
          <w:color w:val="000000"/>
          <w:rFonts w:ascii="苹方-简" w:hAnsi="苹方-简" w:eastAsia="苹方-简" w:cs="苹方-简"/>
          <w:sz w:val="28"/>
        </w:rPr>
        <w:t>二、订单成立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用户提交订单后，应认真核对商品名称、数量、价格、付款金额、收货信息、会员期限、数字内容、咨询时间及其他订单信息。订单仅在平台确认收到相应付款后正式成立。对于需要人工审核、资格认证、预约安排、企业签约、分析师审核或其他特殊条件的商品，订单成立并不代表服务立即开始，具体服务时间以平台通知或双方确认结果为准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8"/>
        <w:spacing w:after="281" w:before="281"/>
        <w:rPr>
          <w:rFonts w:ascii="苹方-简" w:hAnsi="苹方-简" w:eastAsia="苹方-简" w:cs="苹方-简"/>
          <w:sz w:val="28"/>
        </w:rPr>
      </w:pPr>
      <w:r>
        <w:rPr>
          <w:b w:val="1"/>
          <w:color w:val="000000"/>
          <w:rFonts w:ascii="苹方-简" w:hAnsi="苹方-简" w:eastAsia="苹方-简" w:cs="苹方-简"/>
          <w:sz w:val="28"/>
        </w:rPr>
        <w:t>三、价格及支付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本平台商品价格均以订单页面实时显示金额为准，货币种类、税费承担方式及支付方式按照商品页面说明执行。用户可根据平台开放情况使用微信支付、银行卡支付或平台未来支持的其他合法支付方式完成付款。平台不会要求用户通过私人账户、非官方二维码或其他未经公布的方式付款，如用户因向非官方渠道付款造成损失，本平台不承担相应责任。支付完成后，如因银行、支付机构、网络故障或其他不可归责于平台的原因导致付款状态延迟更新，平台将在收到支付机构确认后及时处理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8"/>
        <w:spacing w:after="281" w:before="281"/>
        <w:rPr>
          <w:rFonts w:ascii="苹方-简" w:hAnsi="苹方-简" w:eastAsia="苹方-简" w:cs="苹方-简"/>
          <w:sz w:val="28"/>
        </w:rPr>
      </w:pPr>
      <w:r>
        <w:rPr>
          <w:b w:val="1"/>
          <w:color w:val="000000"/>
          <w:rFonts w:ascii="苹方-简" w:hAnsi="苹方-简" w:eastAsia="苹方-简" w:cs="苹方-简"/>
          <w:sz w:val="28"/>
        </w:rPr>
        <w:t>四、数字商品交付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数字商品包括人格分析报告、排盘结果、课程资料、电子书、下载资源、会员权限、数字授权及其他无需物流配送的产品。除商品页面另有说明外，数字商品通常通过账号权限开放、在线查看、电子邮件发送或下载链接等方式完成交付。数字商品属于知识产权许可使用，并非知识产权转让，用户仅获得约定范围内的个人使用权，不得复制、传播、出售、共享、出租、转授权或用于未经许可的商业用途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8"/>
        <w:spacing w:after="281" w:before="281"/>
        <w:rPr>
          <w:rFonts w:ascii="苹方-简" w:hAnsi="苹方-简" w:eastAsia="苹方-简" w:cs="苹方-简"/>
          <w:sz w:val="28"/>
        </w:rPr>
      </w:pPr>
      <w:r>
        <w:rPr>
          <w:b w:val="1"/>
          <w:color w:val="000000"/>
          <w:rFonts w:ascii="苹方-简" w:hAnsi="苹方-简" w:eastAsia="苹方-简" w:cs="苹方-简"/>
          <w:sz w:val="28"/>
        </w:rPr>
        <w:t>五、实体商品交付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实体商品将在订单确认后按照商品页面说明安排生产、包装及发货。用户应保证收货信息真实、准确、完整，如因地址错误、联系方式错误、拒收、无人签收或其他用户原因导致配送失败、退回、重新配送或商品损坏，由此产生的合理费用由用户承担。物流时效仅为预计时间，因天气、海关、物流公司、不可抗力或其他无法合理控制的原因造成延迟，不视为平台违约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8"/>
        <w:spacing w:after="281" w:before="281"/>
        <w:rPr>
          <w:rFonts w:ascii="苹方-简" w:hAnsi="苹方-简" w:eastAsia="苹方-简" w:cs="苹方-简"/>
          <w:sz w:val="28"/>
        </w:rPr>
      </w:pPr>
      <w:r>
        <w:rPr>
          <w:b w:val="1"/>
          <w:color w:val="000000"/>
          <w:rFonts w:ascii="苹方-简" w:hAnsi="苹方-简" w:eastAsia="苹方-简" w:cs="苹方-简"/>
          <w:sz w:val="28"/>
        </w:rPr>
        <w:t>六、咨询、课程及预约服务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咨询服务、分析师服务、线上课程、线下活动及其他需要预约的服务，以双方最终确认的预约时间为准。用户应按照约定时间参加，如因用户迟到、缺席、临时取消或其他用户原因导致服务无法正常完成，平台有权依据《退款政策》及具体商品说明处理。因平台原因需要调整预约时间的，平台将提前与用户协商重新安排合理时间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8"/>
        <w:spacing w:after="281" w:before="281"/>
        <w:rPr>
          <w:rFonts w:ascii="苹方-简" w:hAnsi="苹方-简" w:eastAsia="苹方-简" w:cs="苹方-简"/>
          <w:sz w:val="28"/>
        </w:rPr>
      </w:pPr>
      <w:r>
        <w:rPr>
          <w:b w:val="1"/>
          <w:color w:val="000000"/>
          <w:rFonts w:ascii="苹方-简" w:hAnsi="苹方-简" w:eastAsia="苹方-简" w:cs="苹方-简"/>
          <w:sz w:val="28"/>
        </w:rPr>
        <w:t>七、会员及SaaS服务购买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购买会员服务、分析师工作台、SaaS系统或API服务后，相关权限将在订单确认后开通。不同套餐对应不同使用期限、账号数量、调用次数、功能权限及技术支持范围，具体以商品页面说明为准。用户不得通过共享账号、出租账号、绕过权限、破解系统、批量调用接口或其他方式超出购买范围使用平台服务，否则平台有权暂停相关权限，并依法追究相应责任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8"/>
        <w:spacing w:after="281" w:before="281"/>
        <w:rPr>
          <w:rFonts w:ascii="苹方-简" w:hAnsi="苹方-简" w:eastAsia="苹方-简" w:cs="苹方-简"/>
          <w:sz w:val="28"/>
        </w:rPr>
      </w:pPr>
      <w:r>
        <w:rPr>
          <w:b w:val="1"/>
          <w:color w:val="000000"/>
          <w:rFonts w:ascii="苹方-简" w:hAnsi="苹方-简" w:eastAsia="苹方-简" w:cs="苹方-简"/>
          <w:sz w:val="28"/>
        </w:rPr>
        <w:t>八、发票及税务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如用户需要发票，应按照订单页面要求填写相关开票信息。平台将在符合适用法律及税务规定的前提下开具相应票据。由于不同国家和地区税务制度存在差异，部分商品价格可能不包含增值税、消费税、进口税或其他依法应缴税费，具体承担方式以订单页面说明及适用法律规定为准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8"/>
        <w:spacing w:after="281" w:before="281"/>
        <w:rPr>
          <w:rFonts w:ascii="苹方-简" w:hAnsi="苹方-简" w:eastAsia="苹方-简" w:cs="苹方-简"/>
          <w:sz w:val="28"/>
        </w:rPr>
      </w:pPr>
      <w:r>
        <w:rPr>
          <w:b w:val="1"/>
          <w:color w:val="000000"/>
          <w:rFonts w:ascii="苹方-简" w:hAnsi="苹方-简" w:eastAsia="苹方-简" w:cs="苹方-简"/>
          <w:sz w:val="28"/>
        </w:rPr>
        <w:t>九、订单取消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订单提交后，在商品尚未开始履行且符合取消条件的情况下，用户可以按照平台提供的流程申请取消订单。已经开始履行的数字商品、已经生成的人格分析报告、已经安排咨询服务、已经开通会员权限、已经提供下载资源、已经开始课程学习或其他依法不适用无理由取消的商品，将按照《退款政策》处理，不适用一般商品取消规则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8"/>
        <w:spacing w:after="281" w:before="281"/>
        <w:rPr>
          <w:rFonts w:ascii="苹方-简" w:hAnsi="苹方-简" w:eastAsia="苹方-简" w:cs="苹方-简"/>
          <w:sz w:val="28"/>
        </w:rPr>
      </w:pPr>
      <w:r>
        <w:rPr>
          <w:b w:val="1"/>
          <w:color w:val="000000"/>
          <w:rFonts w:ascii="苹方-简" w:hAnsi="苹方-简" w:eastAsia="苹方-简" w:cs="苹方-简"/>
          <w:sz w:val="28"/>
        </w:rPr>
        <w:t>十、违约责任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任何一方违反本协议约定，应依法承担相应违约责任。用户不得利用虚假支付、盗刷银行卡、恶意退款、恶意投诉、重复购买套现、非法共享账号、攻击系统、破解程序或其他违法方式损害平台合法权益；平台有权暂停订单、限制账号、终止服务并依法追究相应法律责任。平台因系统故障、价格标注明显错误、不可抗力、法律法规调整或其他依法可以撤销订单的情形，有权在及时通知用户后取消订单，并退还已经支付的相应款项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8"/>
        <w:spacing w:after="281" w:before="281"/>
        <w:rPr>
          <w:rFonts w:ascii="苹方-简" w:hAnsi="苹方-简" w:eastAsia="苹方-简" w:cs="苹方-简"/>
          <w:sz w:val="28"/>
        </w:rPr>
      </w:pPr>
      <w:r>
        <w:rPr>
          <w:b w:val="1"/>
          <w:color w:val="000000"/>
          <w:rFonts w:ascii="苹方-简" w:hAnsi="苹方-简" w:eastAsia="苹方-简" w:cs="苹方-简"/>
          <w:sz w:val="28"/>
        </w:rPr>
        <w:t>十一、协议的修改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本平台有权依据法律法规、监管要求、业务调整或产品升级对本协议进行修订。更新后的协议将在官方网站公布，并自公布之日起生效。对于涉及用户重大权益调整的内容，平台将依法通过合理方式向用户进行提示；用户继续购买或使用平台商品及服务，即表示接受修订后的协议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8"/>
        <w:spacing w:after="281" w:before="281"/>
        <w:rPr>
          <w:rFonts w:ascii="苹方-简" w:hAnsi="苹方-简" w:eastAsia="苹方-简" w:cs="苹方-简"/>
          <w:sz w:val="28"/>
        </w:rPr>
      </w:pPr>
      <w:r>
        <w:rPr>
          <w:b w:val="1"/>
          <w:color w:val="000000"/>
          <w:rFonts w:ascii="苹方-简" w:hAnsi="苹方-简" w:eastAsia="苹方-简" w:cs="苹方-简"/>
          <w:sz w:val="28"/>
        </w:rPr>
        <w:t>十二、联系我们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如您对订单、支付、商品交付、发票、预约服务、会员开通、售后处理或其他购买事项存在疑问，可通过本平台官方网站公布的客服邮箱、在线客服或其他正式联系方式与我们联系，我们将在合理期限内依法给予回复并协助处理相关问题。</w:t>
      </w:r>
    </w:p>
    <w:sectPr>
      <w:cols w:equalWidth="1" w:num="1" w:sep="0" w:space="1701"/>
      <w:docGrid w:linePitch="387" w:type="lines"/>
      <w:pgMar w:top="1440" w:right="1797" w:bottom="1440" w:left="1797" w:header="709" w:footer="992"/>
      <w:pgNumType w:chapSep="hyphen"/>
      <w:pgSz w:h="16838" w:w="11906" w:orient="portrait"/>
    </w:sectPr>
  </w:body>
</w:document>
</file>

<file path=word/settings.xml><?xml version="1.0" encoding="utf-8"?>
<w:settings xmlns:w="http://schemas.openxmlformats.org/wordprocessingml/2006/main" xmlns:m="http://schemas.openxmlformats.org/officeDocument/2006/math" xmlns:v="urn:schemas-microsoft-com:vml">
  <w:drawingGridVerticalSpacing w:val="156"/>
  <w:displayHorizontalDrawingGridEvery w:val="1"/>
  <w:displayVerticalDrawingGridEvery w:val="2"/>
  <w:noPunctuationKerning w:val="0"/>
  <w:characterSpacingControl w:val="compressPunctuation"/>
  <w:endnotePr>
    <w:pos w:val="docEnd"/>
  </w:endnotePr>
  <w:compat>
    <w:balanceSingleByteDoubleByteWidth w:val="1"/>
    <w:adjustLineHeightInTable w:val="1"/>
    <w:compatSetting w:name="compatibilityMode" w:uri="http://schemas.microsoft.com/office/word" w:val="15"/>
  </w:compat>
  <w:themeFontLang w:val="en-US" w:eastAsia="zh-CN" w:bidi="ar-S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<w:docDefaults>
    <w:rPrDefault>
      <w:rPr>
        <w:b w:val="0"/>
        <w:color w:val="auto"/>
        <w:dstrike w:val="0"/>
        <w:i w:val="0"/>
        <w:kern w:val="2"/>
        <w:lang w:val="en-US" w:bidi="en-US"/>
        <w:rFonts w:asciiTheme="minorHAnsi" w:hAnsiTheme="minorHAnsi" w:eastAsiaTheme="minorEastAsia" w:cstheme="minorBidi"/>
        <w:rtl w:val="0"/>
        <w:spacing w:val="0"/>
        <w:strike w:val="0"/>
        <w:sz w:val="21"/>
        <w:szCs w:val="21"/>
        <w:u w:val="none"/>
        <w:vertAlign w:val="baseline"/>
        <w:w w:val="100"/>
      </w:rPr>
    </w:rPrDefault>
    <w:pPrDefault>
      <w:pPr>
        <w:autoSpaceDE w:val="1"/>
        <w:autoSpaceDN w:val="1"/>
        <w:ind w:firstLine="0" w:left="0" w:right="0"/>
        <w:jc w:val="left"/>
        <w:keepLines w:val="0"/>
        <w:keepNext w:val="0"/>
        <w:kinsoku w:val="1"/>
        <w:overflowPunct w:val="1"/>
        <w:pageBreakBefore w:val="0"/>
        <w:pBdr>
          <w:between w:val="nil" w:color="000000" w:sz="4" w:space="0"/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hd w:val="nil"/>
        <w:snapToGrid w:val="1"/>
        <w:spacing w:after="0" w:afterAutospacing="0" w:before="0" w:beforeAutospacing="0" w:line="240" w:lineRule="auto"/>
        <w:topLinePunct w:val="0"/>
        <w:widowControl w:val="1"/>
        <w:wordWrap w:val="1"/>
      </w:pPr>
    </w:pPrDefault>
  </w:docDefaults>
  <w:style w:type="paragraph" w:styleId="161">
    <w:name w:val="Normal"/>
    <w:qFormat w:val="1"/>
    <w:pPr>
      <w:autoSpaceDE w:val="1"/>
      <w:autoSpaceDN w:val="1"/>
      <w:jc w:val="both"/>
      <w:widowControl w:val="0"/>
    </w:pPr>
  </w:style>
  <w:style w:type="paragraph" w:styleId="4">
    <w:name w:val="Heading 1"/>
    <w:basedOn w:val="161"/>
    <w:next w:val="161"/>
    <w:link w:val="5"/>
    <w:uiPriority w:val="9"/>
    <w:qFormat w:val="1"/>
    <w:pPr>
      <w:outlineLvl w:val="0"/>
      <w:spacing w:after="330" w:before="340" w:line="408" w:lineRule="auto"/>
    </w:pPr>
    <w:rPr>
      <w:b w:val="1"/>
      <w:rFonts w:asciiTheme="majorAscii" w:hAnsiTheme="majorAscii" w:eastAsiaTheme="majorEastAsia" w:cstheme="majorBidi"/>
      <w:sz w:val="44"/>
      <w:szCs w:val="44"/>
    </w:rPr>
  </w:style>
  <w:style w:type="character" w:styleId="5">
    <w:name w:val="Heading 1 Char"/>
    <w:basedOn w:val="2"/>
    <w:link w:val="4"/>
    <w:uiPriority w:val="9"/>
    <w:rPr>
      <w:b w:val="1"/>
      <w:rFonts w:asciiTheme="majorAscii" w:hAnsiTheme="majorAscii" w:eastAsiaTheme="majorEastAsia" w:cstheme="majorBidi"/>
      <w:sz w:val="44"/>
      <w:szCs w:val="44"/>
    </w:rPr>
  </w:style>
  <w:style w:type="character" w:styleId="2">
    <w:name w:val="original Paragraph Font"/>
    <w:uiPriority w:val="1"/>
    <w:unhideWhenUsed w:val="1"/>
  </w:style>
  <w:style w:type="paragraph" w:styleId="8">
    <w:name w:val="Heading 3"/>
    <w:basedOn w:val="161"/>
    <w:next w:val="161"/>
    <w:link w:val="9"/>
    <w:uiPriority w:val="9"/>
    <w:unhideWhenUsed w:val="1"/>
    <w:qFormat w:val="1"/>
    <w:pPr>
      <w:outlineLvl w:val="2"/>
      <w:spacing w:after="260" w:before="260" w:line="408" w:lineRule="auto"/>
    </w:pPr>
    <w:rPr>
      <w:b w:val="1"/>
      <w:rFonts w:asciiTheme="majorAscii" w:hAnsiTheme="majorAscii" w:eastAsiaTheme="majorEastAsia" w:cstheme="majorBidi"/>
      <w:sz w:val="32"/>
      <w:szCs w:val="32"/>
    </w:rPr>
  </w:style>
  <w:style w:type="character" w:styleId="9">
    <w:name w:val="Heading 3 Char"/>
    <w:basedOn w:val="2"/>
    <w:link w:val="8"/>
    <w:uiPriority w:val="9"/>
    <w:rPr>
      <w:b w:val="1"/>
      <w:rFonts w:asciiTheme="majorAscii" w:hAnsiTheme="majorAscii" w:eastAsiaTheme="majorEastAsia" w:cstheme="majorBidi"/>
      <w:sz w:val="32"/>
      <w:szCs w:val="32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ettings" TargetMode="Internal" Target="settings.xml"/><Relationship Id="rId3" Type="http://schemas.openxmlformats.org/officeDocument/2006/relationships/styles" TargetMode="Internal" Target="styles.xml"/><Relationship Id="rId1" Type="http://schemas.openxmlformats.org/officeDocument/2006/relationships/theme" TargetMode="Internal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Text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Noto Sans JP"/>
        <a:font script="Hang" typeface="맑은 고딕"/>
        <a:font script="Hans" typeface="微软雅黑"/>
        <a:font script="Hant" typeface="微软雅黑"/>
        <a:font script="Arab" typeface="Arial"/>
      </a:majorFont>
      <a:minorFont>
        <a:latin typeface="Arial"/>
        <a:ea typeface=""/>
        <a:cs typeface=""/>
        <a:font script="Jpan" typeface="Noto Sans JP"/>
        <a:font script="Hang" typeface="맑은 고딕"/>
        <a:font script="Hans" typeface="微软雅黑"/>
        <a:font script="Hant" typeface="微软雅黑"/>
        <a:font script="Arab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