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settings+xml" PartName="/word/settings.xml"/>
  <Override ContentType="application/vnd.openxmlformats-officedocument.theme+xml" PartName="/word/theme/theme1.xml"/>
</Types>
</file>

<file path=_rels/.rels><?xml version="1.0" encoding="UTF-8" standalone="yes"?><Relationships xmlns="http://schemas.openxmlformats.org/package/2006/relationships"><Relationship Id="rId1" Type="http://schemas.openxmlformats.org/officeDocument/2006/relationships/officeDocument" TargetMode="Internal"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16se w16cid w16 w16cex w16sdtdh wp14">
  <w:body>
    <w:p>
      <w:pPr>
        <w:pBdr>
          <w:bottom w:val="nil" w:color="000000" w:sz="4" w:space="0"/>
          <w:left w:val="nil" w:color="000000" w:sz="4" w:space="0"/>
          <w:right w:val="nil" w:color="000000" w:sz="4" w:space="0"/>
          <w:top w:val="nil" w:color="000000" w:sz="4" w:space="0"/>
        </w:pBdr>
        <w:pStyle w:val="4"/>
        <w:spacing w:after="322" w:before="322"/>
        <w:rPr>
          <w:rFonts w:ascii="苹方-简" w:hAnsi="苹方-简" w:eastAsia="苹方-简" w:cs="苹方-简"/>
          <w:sz w:val="48"/>
        </w:rPr>
      </w:pPr>
      <w:r>
        <w:rPr>
          <w:b w:val="1"/>
          <w:color w:val="000000"/>
          <w:rFonts w:ascii="苹方-简" w:hAnsi="苹方-简" w:eastAsia="苹方-简" w:cs="苹方-简"/>
          <w:sz w:val="48"/>
        </w:rPr>
        <w:t xml:space="preserve">SPISPIA深度人格平台分析师服务协议（Analyst Service Agreement）</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1"/>
          <w:color w:val="000000"/>
          <w:rFonts w:ascii="苹方-简" w:hAnsi="苹方-简" w:eastAsia="苹方-简" w:cs="苹方-简"/>
          <w:sz w:val="24"/>
        </w:rPr>
        <w:t>版本日期：2026年7月24日</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欢迎您申请成为SPISPIA深度人格平台（以下简称“本平台”）认证分析师。本协议适用于所有申请、认证、入驻、执业及通过本平台提供SPI人格分析、课程培训、咨询服务及其他专业服务的分析师。本协议与《用户协议》《知识产权声明》《隐私政策》《SaaS服务协议》及平台公布的其他规则共同构成分析师与平台之间具有法律约束力的协议文件。分析师完成注册、认证申请、接受订单或继续使用分析师后台，即表示已经阅读、理解并同意遵守本协议全部内容。</w:t>
      </w:r>
    </w:p>
    <w:p>
      <w:pPr>
        <w:pBdr>
          <w:bottom w:val="nil" w:color="000000" w:sz="4" w:space="0"/>
          <w:left w:val="nil" w:color="000000" w:sz="4" w:space="0"/>
          <w:right w:val="nil" w:color="000000" w:sz="4" w:space="0"/>
          <w:top w:val="nil" w:color="000000" w:sz="4" w:space="0"/>
        </w:pBdr>
        <w:pStyle w:val="6"/>
        <w:spacing/>
        <w:rPr>
          <w:rFonts w:ascii="苹方-简" w:hAnsi="苹方-简" w:eastAsia="苹方-简" w:cs="苹方-简"/>
          <w:sz w:val="36"/>
        </w:rPr>
      </w:pPr>
      <w:r>
        <w:rPr>
          <w:b w:val="1"/>
          <w:color w:val="000000"/>
          <w:rFonts w:ascii="苹方-简" w:hAnsi="苹方-简" w:eastAsia="苹方-简" w:cs="苹方-简"/>
          <w:sz w:val="36"/>
        </w:rPr>
        <w:t>一、分析师资格</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分析师应具备相应的专业能力、职业素养及平台要求的认证资格，并保证提交的身份资料、学历信息、职业经历、认证证书、联系方式及其他申请材料真实、准确、完整。</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平台有权根据审核标准决定是否通过认证申请，并有权根据业务发展、服务质量、用户反馈或其他合理原因，对分析师资格进行复审、暂停或取消。</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分析师认证通过并不代表与平台形成劳动关系、雇佣关系或合伙关系，双方之间的法律关系以实际签署的合作协议及本协议约定为准。</w:t>
      </w:r>
    </w:p>
    <w:p>
      <w:pPr>
        <w:pBdr>
          <w:bottom w:val="nil" w:color="000000" w:sz="4" w:space="0"/>
          <w:left w:val="nil" w:color="000000" w:sz="4" w:space="0"/>
          <w:right w:val="nil" w:color="000000" w:sz="4" w:space="0"/>
          <w:top w:val="nil" w:color="000000" w:sz="4" w:space="0"/>
        </w:pBdr>
        <w:pStyle w:val="6"/>
        <w:spacing/>
        <w:rPr>
          <w:rFonts w:ascii="苹方-简" w:hAnsi="苹方-简" w:eastAsia="苹方-简" w:cs="苹方-简"/>
          <w:sz w:val="36"/>
        </w:rPr>
      </w:pPr>
      <w:r>
        <w:rPr>
          <w:b w:val="1"/>
          <w:color w:val="000000"/>
          <w:rFonts w:ascii="苹方-简" w:hAnsi="苹方-简" w:eastAsia="苹方-简" w:cs="苹方-简"/>
          <w:sz w:val="36"/>
        </w:rPr>
        <w:t>二、服务规范</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分析师应依据SPI人格分析体系、平台课程标准及专业规范开展服务，坚持客观、审慎、诚信、尊重用户的原则，不得故意夸大分析结果、制造焦虑、诱导消费或利用用户信任谋取不正当利益。</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分析师应根据用户实际情况提供专业分析，不得承诺任何特定结果，不得以保证成功、保证婚姻、保证财富、保证治愈、改变命运等具有误导性的方式开展咨询服务。</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分析师应尊重不同文化、宗教、性别、民族及个人价值观，不得发表歧视性、侮辱性、违法违规或明显违背社会公共利益的言论。</w:t>
      </w:r>
    </w:p>
    <w:p>
      <w:pPr>
        <w:pBdr>
          <w:bottom w:val="nil" w:color="000000" w:sz="4" w:space="0"/>
          <w:left w:val="nil" w:color="000000" w:sz="4" w:space="0"/>
          <w:right w:val="nil" w:color="000000" w:sz="4" w:space="0"/>
          <w:top w:val="nil" w:color="000000" w:sz="4" w:space="0"/>
        </w:pBdr>
        <w:pStyle w:val="6"/>
        <w:spacing/>
        <w:rPr>
          <w:rFonts w:ascii="苹方-简" w:hAnsi="苹方-简" w:eastAsia="苹方-简" w:cs="苹方-简"/>
          <w:sz w:val="36"/>
        </w:rPr>
      </w:pPr>
      <w:r>
        <w:rPr>
          <w:b w:val="1"/>
          <w:color w:val="000000"/>
          <w:rFonts w:ascii="苹方-简" w:hAnsi="苹方-简" w:eastAsia="苹方-简" w:cs="苹方-简"/>
          <w:sz w:val="36"/>
        </w:rPr>
        <w:t>三、订单处理</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分析师接受平台分配或用户预约的订单后，应按照约定时间开展准备工作并按时完成服务。</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自订单确认开始，分析师即可能已经投入资料整理、星盘分析、人格建模、案例准备、咨询方案设计及其他专业工作，因此应认真履行委托，不得无故拖延、拒绝服务或随意取消订单。</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如因特殊情况确实无法继续提供服务，应第一时间通知平台，由平台协调用户重新安排或更换分析师。</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未经平台同意，分析师不得私自引导用户脱离平台交易、绕过平台支付、建立线下收费关系或规避平台订单管理。</w:t>
      </w:r>
    </w:p>
    <w:p>
      <w:pPr>
        <w:pBdr>
          <w:bottom w:val="nil" w:color="000000" w:sz="4" w:space="0"/>
          <w:left w:val="nil" w:color="000000" w:sz="4" w:space="0"/>
          <w:right w:val="nil" w:color="000000" w:sz="4" w:space="0"/>
          <w:top w:val="nil" w:color="000000" w:sz="4" w:space="0"/>
        </w:pBdr>
        <w:pStyle w:val="6"/>
        <w:spacing/>
        <w:rPr>
          <w:rFonts w:ascii="苹方-简" w:hAnsi="苹方-简" w:eastAsia="苹方-简" w:cs="苹方-简"/>
          <w:sz w:val="36"/>
        </w:rPr>
      </w:pPr>
      <w:r>
        <w:rPr>
          <w:b w:val="1"/>
          <w:color w:val="000000"/>
          <w:rFonts w:ascii="苹方-简" w:hAnsi="苹方-简" w:eastAsia="苹方-简" w:cs="苹方-简"/>
          <w:sz w:val="36"/>
        </w:rPr>
        <w:t>四、用户信息保护</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分析师因提供服务接触到的出生资料、联系方式、人格分析结果、咨询记录、订单信息及其他个人资料，仅限于完成本次服务之目的使用。</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未经用户及平台书面同意，不得复制、保存、传播、出售、展示、公开讨论或用于课程宣传、自媒体运营、AI训练、研究发表或其他与本次服务无关的用途。</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涉及教学案例、课程分享或研究项目的，应取得平台批准，并依法完成匿名化处理或取得用户授权。</w:t>
      </w:r>
    </w:p>
    <w:p>
      <w:pPr>
        <w:pBdr>
          <w:bottom w:val="nil" w:color="000000" w:sz="4" w:space="0"/>
          <w:left w:val="nil" w:color="000000" w:sz="4" w:space="0"/>
          <w:right w:val="nil" w:color="000000" w:sz="4" w:space="0"/>
          <w:top w:val="nil" w:color="000000" w:sz="4" w:space="0"/>
        </w:pBdr>
        <w:pStyle w:val="6"/>
        <w:spacing/>
        <w:rPr>
          <w:rFonts w:ascii="苹方-简" w:hAnsi="苹方-简" w:eastAsia="苹方-简" w:cs="苹方-简"/>
          <w:sz w:val="36"/>
        </w:rPr>
      </w:pPr>
      <w:r>
        <w:rPr>
          <w:b w:val="1"/>
          <w:color w:val="000000"/>
          <w:rFonts w:ascii="苹方-简" w:hAnsi="苹方-简" w:eastAsia="苹方-简" w:cs="苹方-简"/>
          <w:sz w:val="36"/>
        </w:rPr>
        <w:t>五、知识产权</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分析师在平台使用的SPI人格分析体系、课程内容、规则库、数据库、分析流程、咨询模型、报告模板、系统后台、软件工具及其他平台原创成果，均属于平台知识产权。</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分析师不得复制平台课程、建立个人数据库、拆解规则库、导出系统数据、录制内部课程、传播后台资料、仿制平台分析模型或利用平台成果建立竞争性产品。</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分析师依据平台模板形成的分析报告，在不涉及用户个人信息的情况下，其底层模板、分析框架及SPI规则仍归平台所有。</w:t>
      </w:r>
    </w:p>
    <w:p>
      <w:pPr>
        <w:pBdr>
          <w:bottom w:val="nil" w:color="000000" w:sz="4" w:space="0"/>
          <w:left w:val="nil" w:color="000000" w:sz="4" w:space="0"/>
          <w:right w:val="nil" w:color="000000" w:sz="4" w:space="0"/>
          <w:top w:val="nil" w:color="000000" w:sz="4" w:space="0"/>
        </w:pBdr>
        <w:pStyle w:val="6"/>
        <w:spacing/>
        <w:rPr>
          <w:rFonts w:ascii="苹方-简" w:hAnsi="苹方-简" w:eastAsia="苹方-简" w:cs="苹方-简"/>
          <w:sz w:val="36"/>
        </w:rPr>
      </w:pPr>
      <w:r>
        <w:rPr>
          <w:b w:val="1"/>
          <w:color w:val="000000"/>
          <w:rFonts w:ascii="苹方-简" w:hAnsi="苹方-简" w:eastAsia="苹方-简" w:cs="苹方-简"/>
          <w:sz w:val="36"/>
        </w:rPr>
        <w:t>六、收费及收益</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分析师通过平台提供服务所得收益，将依据双方约定的合作模式、分成比例或结算规则进行计算。</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平台有权根据订单退款、支付失败、异常交易、违规订单、税务要求或其他依法应调整的情况，对相关收益进行相应调整。</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分析师应依法履行所在地适用的税务申报义务，平台依法需要代扣代缴税费的，将按照适用法律执行。</w:t>
      </w:r>
    </w:p>
    <w:p>
      <w:pPr>
        <w:pBdr>
          <w:bottom w:val="nil" w:color="000000" w:sz="4" w:space="0"/>
          <w:left w:val="nil" w:color="000000" w:sz="4" w:space="0"/>
          <w:right w:val="nil" w:color="000000" w:sz="4" w:space="0"/>
          <w:top w:val="nil" w:color="000000" w:sz="4" w:space="0"/>
        </w:pBdr>
        <w:pStyle w:val="6"/>
        <w:spacing/>
        <w:rPr>
          <w:rFonts w:ascii="苹方-简" w:hAnsi="苹方-简" w:eastAsia="苹方-简" w:cs="苹方-简"/>
          <w:sz w:val="36"/>
        </w:rPr>
      </w:pPr>
      <w:r>
        <w:rPr>
          <w:b w:val="1"/>
          <w:color w:val="000000"/>
          <w:rFonts w:ascii="苹方-简" w:hAnsi="苹方-简" w:eastAsia="苹方-简" w:cs="苹方-简"/>
          <w:sz w:val="36"/>
        </w:rPr>
        <w:t>七、违规处理</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分析师出现下列情形之一的，平台有权暂停订单、限制后台权限、取消认证资格、终止合作，并依法追究相应责任：</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（一）提供虚假认证资料；</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（二）严重违反SPI专业规范；</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（三）泄露用户个人信息；</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（四）私下收费或绕过平台交易；</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（五）盗用、复制或传播平台知识产权；</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（六）恶意诋毁平台、其他分析师或用户；</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（七）利用平台从事违法活动；</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（八）其他严重损害平台、用户或合作伙伴合法权益的行为。</w:t>
      </w:r>
    </w:p>
    <w:p>
      <w:pPr>
        <w:pBdr>
          <w:bottom w:val="nil" w:color="000000" w:sz="4" w:space="0"/>
          <w:left w:val="nil" w:color="000000" w:sz="4" w:space="0"/>
          <w:right w:val="nil" w:color="000000" w:sz="4" w:space="0"/>
          <w:top w:val="nil" w:color="000000" w:sz="4" w:space="0"/>
        </w:pBdr>
        <w:pStyle w:val="6"/>
        <w:spacing/>
        <w:rPr>
          <w:rFonts w:ascii="苹方-简" w:hAnsi="苹方-简" w:eastAsia="苹方-简" w:cs="苹方-简"/>
          <w:sz w:val="36"/>
        </w:rPr>
      </w:pPr>
      <w:r>
        <w:rPr>
          <w:b w:val="1"/>
          <w:color w:val="000000"/>
          <w:rFonts w:ascii="苹方-简" w:hAnsi="苹方-简" w:eastAsia="苹方-简" w:cs="苹方-简"/>
          <w:sz w:val="36"/>
        </w:rPr>
        <w:t>八、责任限制</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分析师应独立对其提供的专业服务负责，并依法承担因故意或重大过失造成的法律责任。</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平台负责提供订单管理、系统支持、支付结算及运营服务，但不因分析师个人观点、咨询表达方式或超出平台规范范围的个人行为承担责任。</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如因分析师违法违规行为导致平台遭受投诉、行政处罚、诉讼或其他损失，平台有权向相关分析师追偿全部实际损失及合理维权费用。</w:t>
      </w:r>
    </w:p>
    <w:p>
      <w:pPr>
        <w:pBdr>
          <w:bottom w:val="nil" w:color="000000" w:sz="4" w:space="0"/>
          <w:left w:val="nil" w:color="000000" w:sz="4" w:space="0"/>
          <w:right w:val="nil" w:color="000000" w:sz="4" w:space="0"/>
          <w:top w:val="nil" w:color="000000" w:sz="4" w:space="0"/>
        </w:pBdr>
        <w:pStyle w:val="6"/>
        <w:spacing/>
        <w:rPr>
          <w:rFonts w:ascii="苹方-简" w:hAnsi="苹方-简" w:eastAsia="苹方-简" w:cs="苹方-简"/>
          <w:sz w:val="36"/>
        </w:rPr>
      </w:pPr>
      <w:r>
        <w:rPr>
          <w:b w:val="1"/>
          <w:color w:val="000000"/>
          <w:rFonts w:ascii="苹方-简" w:hAnsi="苹方-简" w:eastAsia="苹方-简" w:cs="苹方-简"/>
          <w:sz w:val="36"/>
        </w:rPr>
        <w:t>九、协议终止</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分析师可按照平台规定申请退出合作。</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平台亦有权依据法律法规、合作终止、长期未执业、认证失效、严重违规或其他合理原因终止分析师资格。</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合作终止后，分析师仍应继续履行保密义务、知识产权保护义务及其他依法应持续有效的义务，不得继续使用平台认证身份开展任何可能导致公众误解的活动。</w:t>
      </w:r>
    </w:p>
    <w:p>
      <w:pPr>
        <w:pBdr>
          <w:bottom w:val="nil" w:color="000000" w:sz="4" w:space="0"/>
          <w:left w:val="nil" w:color="000000" w:sz="4" w:space="0"/>
          <w:right w:val="nil" w:color="000000" w:sz="4" w:space="0"/>
          <w:top w:val="nil" w:color="000000" w:sz="4" w:space="0"/>
        </w:pBdr>
        <w:pStyle w:val="6"/>
        <w:spacing/>
        <w:rPr>
          <w:rFonts w:ascii="苹方-简" w:hAnsi="苹方-简" w:eastAsia="苹方-简" w:cs="苹方-简"/>
          <w:sz w:val="36"/>
        </w:rPr>
      </w:pPr>
      <w:r>
        <w:rPr>
          <w:b w:val="1"/>
          <w:color w:val="000000"/>
          <w:rFonts w:ascii="苹方-简" w:hAnsi="苹方-简" w:eastAsia="苹方-简" w:cs="苹方-简"/>
          <w:sz w:val="36"/>
        </w:rPr>
        <w:t>十、协议更新</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本平台有权依据法律法规、行业规范、SPI体系发展及运营需要，对本协议进行修订。更新后的版本将在官方网站公布，自公布之日起生效。分析师继续使用分析师后台、接受订单或提供服务，即视为接受修订后的协议。</w:t>
      </w:r>
    </w:p>
    <w:p>
      <w:pPr>
        <w:pBdr>
          <w:bottom w:val="nil" w:color="000000" w:sz="4" w:space="0"/>
          <w:left w:val="nil" w:color="000000" w:sz="4" w:space="0"/>
          <w:right w:val="nil" w:color="000000" w:sz="4" w:space="0"/>
          <w:top w:val="nil" w:color="000000" w:sz="4" w:space="0"/>
        </w:pBdr>
        <w:pStyle w:val="6"/>
        <w:spacing/>
        <w:rPr>
          <w:rFonts w:ascii="苹方-简" w:hAnsi="苹方-简" w:eastAsia="苹方-简" w:cs="苹方-简"/>
          <w:sz w:val="36"/>
        </w:rPr>
      </w:pPr>
      <w:r>
        <w:rPr>
          <w:b w:val="1"/>
          <w:color w:val="000000"/>
          <w:rFonts w:ascii="苹方-简" w:hAnsi="苹方-简" w:eastAsia="苹方-简" w:cs="苹方-简"/>
          <w:sz w:val="36"/>
        </w:rPr>
        <w:t>十一、联系我们</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如您对分析师认证、执业规范、订单管理、收益结算、合作模式或其他事项存在疑问，可通过本平台官方网站公布的商务合作邮箱、分析师支持邮箱或在线客服与我们联系，平台将在合理期限内给予回复。</w:t>
      </w:r>
    </w:p>
    <w:sectPr>
      <w:cols w:equalWidth="1" w:num="1" w:sep="0" w:space="1701"/>
      <w:docGrid w:linePitch="387" w:type="lines"/>
      <w:pgMar w:top="1440" w:right="1797" w:bottom="1440" w:left="1797" w:header="709" w:footer="992"/>
      <w:pgNumType w:chapSep="hyphen"/>
      <w:pgSz w:h="16838" w:w="11906" w:orient="portrait"/>
    </w:sectPr>
  </w:body>
</w:document>
</file>

<file path=word/settings.xml><?xml version="1.0" encoding="utf-8"?>
<w:settings xmlns:w="http://schemas.openxmlformats.org/wordprocessingml/2006/main" xmlns:m="http://schemas.openxmlformats.org/officeDocument/2006/math" xmlns:v="urn:schemas-microsoft-com:vml">
  <w:drawingGridVerticalSpacing w:val="156"/>
  <w:displayHorizontalDrawingGridEvery w:val="1"/>
  <w:displayVerticalDrawingGridEvery w:val="2"/>
  <w:noPunctuationKerning w:val="0"/>
  <w:characterSpacingControl w:val="compressPunctuation"/>
  <w:endnotePr>
    <w:pos w:val="docEnd"/>
  </w:endnotePr>
  <w:compat>
    <w:balanceSingleByteDoubleByteWidth w:val="1"/>
    <w:adjustLineHeightInTable w:val="1"/>
    <w:compatSetting w:name="compatibilityMode" w:uri="http://schemas.microsoft.com/office/word" w:val="15"/>
  </w:compat>
  <w:themeFontLang w:val="en-US" w:eastAsia="zh-CN" w:bidi="ar-S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docDefaults>
    <w:rPrDefault>
      <w:rPr>
        <w:b w:val="0"/>
        <w:color w:val="auto"/>
        <w:dstrike w:val="0"/>
        <w:i w:val="0"/>
        <w:kern w:val="2"/>
        <w:lang w:val="en-US" w:bidi="en-US"/>
        <w:rFonts w:asciiTheme="minorHAnsi" w:hAnsiTheme="minorHAnsi" w:eastAsiaTheme="minorEastAsia" w:cstheme="minorBidi"/>
        <w:rtl w:val="0"/>
        <w:spacing w:val="0"/>
        <w:strike w:val="0"/>
        <w:sz w:val="21"/>
        <w:szCs w:val="21"/>
        <w:u w:val="none"/>
        <w:vertAlign w:val="baseline"/>
        <w:w w:val="100"/>
      </w:rPr>
    </w:rPrDefault>
    <w:pPrDefault>
      <w:pPr>
        <w:autoSpaceDE w:val="1"/>
        <w:autoSpaceDN w:val="1"/>
        <w:ind w:firstLine="0" w:left="0" w:right="0"/>
        <w:jc w:val="left"/>
        <w:keepLines w:val="0"/>
        <w:keepNext w:val="0"/>
        <w:kinsoku w:val="1"/>
        <w:overflowPunct w:val="1"/>
        <w:pageBreakBefore w:val="0"/>
        <w:pBdr>
          <w:between w:val="nil" w:color="000000" w:sz="4" w:space="0"/>
          <w:bottom w:val="nil" w:color="000000" w:sz="4" w:space="0"/>
          <w:left w:val="nil" w:color="000000" w:sz="4" w:space="0"/>
          <w:right w:val="nil" w:color="000000" w:sz="4" w:space="0"/>
          <w:top w:val="nil" w:color="000000" w:sz="4" w:space="0"/>
        </w:pBdr>
        <w:shd w:val="nil"/>
        <w:snapToGrid w:val="1"/>
        <w:spacing w:after="0" w:afterAutospacing="0" w:before="0" w:beforeAutospacing="0" w:line="240" w:lineRule="auto"/>
        <w:topLinePunct w:val="0"/>
        <w:widowControl w:val="1"/>
        <w:wordWrap w:val="1"/>
      </w:pPr>
    </w:pPrDefault>
  </w:docDefaults>
  <w:style w:type="paragraph" w:styleId="161">
    <w:name w:val="Normal"/>
    <w:qFormat w:val="1"/>
    <w:pPr>
      <w:autoSpaceDE w:val="1"/>
      <w:autoSpaceDN w:val="1"/>
      <w:jc w:val="both"/>
      <w:widowControl w:val="0"/>
    </w:pPr>
  </w:style>
  <w:style w:type="paragraph" w:styleId="4">
    <w:name w:val="Heading 1"/>
    <w:basedOn w:val="161"/>
    <w:next w:val="161"/>
    <w:link w:val="5"/>
    <w:uiPriority w:val="9"/>
    <w:qFormat w:val="1"/>
    <w:pPr>
      <w:outlineLvl w:val="0"/>
      <w:spacing w:after="330" w:before="340" w:line="408" w:lineRule="auto"/>
    </w:pPr>
    <w:rPr>
      <w:b w:val="1"/>
      <w:rFonts w:asciiTheme="majorAscii" w:hAnsiTheme="majorAscii" w:eastAsiaTheme="majorEastAsia" w:cstheme="majorBidi"/>
      <w:sz w:val="44"/>
      <w:szCs w:val="44"/>
    </w:rPr>
  </w:style>
  <w:style w:type="character" w:styleId="5">
    <w:name w:val="Heading 1 Char"/>
    <w:basedOn w:val="2"/>
    <w:link w:val="4"/>
    <w:uiPriority w:val="9"/>
    <w:rPr>
      <w:b w:val="1"/>
      <w:rFonts w:asciiTheme="majorAscii" w:hAnsiTheme="majorAscii" w:eastAsiaTheme="majorEastAsia" w:cstheme="majorBidi"/>
      <w:sz w:val="44"/>
      <w:szCs w:val="44"/>
    </w:rPr>
  </w:style>
  <w:style w:type="character" w:styleId="2">
    <w:name w:val="original Paragraph Font"/>
    <w:uiPriority w:val="1"/>
    <w:unhideWhenUsed w:val="1"/>
  </w:style>
  <w:style w:type="paragraph" w:styleId="6">
    <w:name w:val="Heading 2"/>
    <w:basedOn w:val="161"/>
    <w:next w:val="161"/>
    <w:link w:val="7"/>
    <w:uiPriority w:val="9"/>
    <w:unhideWhenUsed w:val="1"/>
    <w:qFormat w:val="1"/>
    <w:pPr>
      <w:outlineLvl w:val="1"/>
      <w:spacing w:after="260" w:before="260" w:line="408" w:lineRule="auto"/>
    </w:pPr>
    <w:rPr>
      <w:b w:val="1"/>
      <w:rFonts w:asciiTheme="majorAscii" w:hAnsiTheme="majorAscii" w:eastAsiaTheme="majorEastAsia" w:cstheme="majorBidi"/>
      <w:sz w:val="32"/>
    </w:rPr>
  </w:style>
  <w:style w:type="character" w:styleId="7">
    <w:name w:val="Heading 2 Char"/>
    <w:basedOn w:val="2"/>
    <w:link w:val="6"/>
    <w:uiPriority w:val="9"/>
    <w:rPr>
      <w:b w:val="1"/>
      <w:rFonts w:asciiTheme="majorAscii" w:hAnsiTheme="majorAscii" w:eastAsiaTheme="majorEastAsia" w:cstheme="majorBidi"/>
      <w:sz w:val="32"/>
    </w:rPr>
  </w:style>
</w:styles>
</file>

<file path=word/_rels/document.xml.rels><?xml version="1.0" encoding="UTF-8" standalone="yes"?><Relationships xmlns="http://schemas.openxmlformats.org/package/2006/relationships"><Relationship Id="rId3" Type="http://schemas.openxmlformats.org/officeDocument/2006/relationships/styles" TargetMode="Internal" Target="styles.xml"/><Relationship Id="rId1" Type="http://schemas.openxmlformats.org/officeDocument/2006/relationships/theme" TargetMode="Internal" Target="theme/theme1.xml"/><Relationship Id="rId2" Type="http://schemas.openxmlformats.org/officeDocument/2006/relationships/settings" TargetMode="Internal" Target="settings.xml"/></Relationships>
</file>

<file path=word/theme/theme1.xml><?xml version="1.0" encoding="utf-8"?>
<a:theme xmlns:a="http://schemas.openxmlformats.org/drawingml/2006/main" name="Office 主题">
  <a:themeElements>
    <a:clrScheme name="Office">
      <a:dk1>
        <a:sysClr val="windowText" lastClr="000000"/>
      </a:dk1>
      <a:lt1>
        <a:sysClr val="windowText"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a:ea typeface=""/>
        <a:cs typeface=""/>
        <a:font script="Jpan" typeface="Noto Sans JP"/>
        <a:font script="Hang" typeface="맑은 고딕"/>
        <a:font script="Hans" typeface="微软雅黑"/>
        <a:font script="Hant" typeface="微软雅黑"/>
        <a:font script="Arab" typeface="Arial"/>
      </a:majorFont>
      <a:minorFont>
        <a:latin typeface="Arial"/>
        <a:ea typeface=""/>
        <a:cs typeface=""/>
        <a:font script="Jpan" typeface="Noto Sans JP"/>
        <a:font script="Hang" typeface="맑은 고딕"/>
        <a:font script="Hans" typeface="微软雅黑"/>
        <a:font script="Hant" typeface="微软雅黑"/>
        <a:font script="Arab"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